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jc w:val="center"/>
      </w:pPr>
      <w:r>
        <w:rPr/>
      </w:r>
      <w:r>
        <w:rPr>
          <w:b/>
          <w:bCs/>
          <w:i/>
          <w:iCs/>
          <w:sz w:val="24"/>
          <w:szCs w:val="24"/>
          <w:shd w:fill="FFFF00" w:val="clear"/>
          <w:lang w:val="cs-CZ"/>
        </w:rPr>
        <w:t xml:space="preserve"> </w:t>
      </w:r>
    </w:p>
    <w:p>
      <w:pPr>
        <w:pStyle w:val="style1"/>
      </w:pPr>
      <w:r>
        <w:rPr/>
        <w:t>WARNER BROS. PICTURES</w:t>
      </w:r>
    </w:p>
    <w:p>
      <w:pPr>
        <w:pStyle w:val="style0"/>
        <w:spacing w:line="360" w:lineRule="auto"/>
        <w:jc w:val="right"/>
      </w:pPr>
      <w:r>
        <w:rPr>
          <w:sz w:val="24"/>
          <w:szCs w:val="24"/>
          <w:u w:val="single"/>
          <w:lang w:val="cs-CZ"/>
        </w:rPr>
      </w:r>
    </w:p>
    <w:p>
      <w:pPr>
        <w:pStyle w:val="style0"/>
        <w:spacing w:line="360" w:lineRule="auto"/>
        <w:jc w:val="center"/>
      </w:pPr>
      <w:r>
        <w:rPr>
          <w:lang w:val="cs-CZ"/>
        </w:rPr>
      </w:r>
    </w:p>
    <w:p>
      <w:pPr>
        <w:pStyle w:val="style0"/>
        <w:spacing w:line="360" w:lineRule="auto"/>
        <w:jc w:val="center"/>
      </w:pPr>
      <w:r>
        <w:rPr>
          <w:b/>
          <w:bCs/>
          <w:sz w:val="24"/>
          <w:szCs w:val="24"/>
          <w:u w:val="single"/>
          <w:lang w:val="cs-CZ"/>
        </w:rPr>
        <w:t>ZAČALO NATÁČENÍ NOVÉHO FILMU V REŽII SOUROZENCŮ WACHOWSKÝCH: „JUPITER ASCENDING”</w:t>
      </w:r>
    </w:p>
    <w:p>
      <w:pPr>
        <w:pStyle w:val="style0"/>
        <w:spacing w:line="360" w:lineRule="auto"/>
        <w:jc w:val="center"/>
      </w:pPr>
      <w:r>
        <w:rPr>
          <w:lang w:val="cs-CZ"/>
        </w:rPr>
      </w:r>
    </w:p>
    <w:p>
      <w:pPr>
        <w:pStyle w:val="style0"/>
        <w:spacing w:line="360" w:lineRule="auto"/>
        <w:jc w:val="center"/>
      </w:pPr>
      <w:r>
        <w:rPr>
          <w:i/>
          <w:iCs/>
          <w:sz w:val="24"/>
          <w:szCs w:val="24"/>
          <w:lang w:val="cs-CZ"/>
        </w:rPr>
        <w:t>V HLAVNÍCH ROLÍCH CHANNING TATUM A MILA KUNIS</w:t>
      </w:r>
    </w:p>
    <w:p>
      <w:pPr>
        <w:pStyle w:val="style0"/>
        <w:spacing w:line="360" w:lineRule="auto"/>
        <w:jc w:val="center"/>
      </w:pPr>
      <w:r>
        <w:rPr>
          <w:lang w:val="cs-CZ"/>
        </w:rPr>
      </w:r>
    </w:p>
    <w:p>
      <w:pPr>
        <w:pStyle w:val="style0"/>
        <w:spacing w:line="360" w:lineRule="auto"/>
        <w:ind w:firstLine="720" w:left="0" w:right="0"/>
        <w:jc w:val="both"/>
      </w:pPr>
      <w:r>
        <w:rPr>
          <w:sz w:val="24"/>
          <w:szCs w:val="24"/>
          <w:lang w:val="cs-CZ"/>
        </w:rPr>
        <w:t xml:space="preserve">Praha, 17.4.2013 – Společnosti Warner Bros. Pictures a Village Roadshow Pictures zahájili natáčení výpravného filmu „Jupiter Ascending”, původní dobrodružné sci-fi z dílny Lany a Andyho Wachowských. Hlavní role ve filmu, jehož natáčení začalo 2. dubna 2013 ve studiích Warner Bros. v Leavesdenu, ztvárnili Channing Tatum a Mila Kunis.  </w:t>
      </w:r>
    </w:p>
    <w:p>
      <w:pPr>
        <w:pStyle w:val="style0"/>
        <w:spacing w:line="360" w:lineRule="auto"/>
        <w:jc w:val="both"/>
      </w:pPr>
      <w:r>
        <w:rPr>
          <w:rFonts w:eastAsia="MS Mincho"/>
          <w:sz w:val="24"/>
          <w:szCs w:val="24"/>
          <w:lang w:val="cs-CZ"/>
        </w:rPr>
        <w:tab/>
        <w:t> Sourozenci Wachowští jsou autory původního scénáře k filmu „Jupiter Ascending“, od ulic Chicaga až po vzdálené galaxie řítící se vesmírem, i jeho režiséry.  Na produkci filmu se společně s Wachowsk</w:t>
      </w:r>
      <w:bookmarkStart w:id="0" w:name="_GoBack"/>
      <w:bookmarkEnd w:id="0"/>
      <w:r>
        <w:rPr>
          <w:rFonts w:eastAsia="MS Mincho"/>
          <w:sz w:val="24"/>
          <w:szCs w:val="24"/>
          <w:lang w:val="cs-CZ"/>
        </w:rPr>
        <w:t xml:space="preserve">ými podílí cenami ověnčený producent </w:t>
      </w:r>
      <w:r>
        <w:rPr>
          <w:sz w:val="24"/>
          <w:szCs w:val="24"/>
          <w:lang w:val="cs-CZ"/>
        </w:rPr>
        <w:t xml:space="preserve">Grant Hill, se kterým sourozenecká dvojice scénáristů/režisérů spolupracuje od trilogie „Matrix”.  Výkonnými producenty jsou Roberto Malerba a Bruce Berman. </w:t>
      </w:r>
    </w:p>
    <w:p>
      <w:pPr>
        <w:pStyle w:val="style0"/>
        <w:spacing w:line="360" w:lineRule="auto"/>
        <w:jc w:val="both"/>
      </w:pPr>
      <w:r>
        <w:rPr>
          <w:rFonts w:eastAsia="MS Mincho"/>
          <w:sz w:val="24"/>
          <w:szCs w:val="24"/>
          <w:lang w:val="cs-CZ"/>
        </w:rPr>
        <w:tab/>
        <w:t>Když se pod noční oblohou narodila Jupiter Jones (Mila Kunis), znamení napovídala, že je předurčena k velkým činům.  Nyní již dospělá Jupiter sní o hvězdách, ale probouzí se do chladné reality uklízečky toalet a nekonečného sledu neúspěchů.  Až když na Zemi dorazí Caine (Channing Tatum), geneticky upravený bývalý armádní lovec, jehož úkolem je sledovat Jupiter, začne si uvědomovat naplnění svého osudu – její genetická výbava ji předurčuje jako dědičnou následnici královny vesmíru. Toto neobvyklé následnictví by však mohlo ovlivnit rovnováhu ve vesmíru</w:t>
      </w:r>
      <w:r>
        <w:rPr>
          <w:rFonts w:eastAsia="MS Mincho"/>
          <w:color w:val="000000"/>
          <w:sz w:val="24"/>
          <w:szCs w:val="24"/>
          <w:lang w:val="cs-CZ"/>
        </w:rPr>
        <w:t xml:space="preserve">.  </w:t>
      </w:r>
    </w:p>
    <w:p>
      <w:pPr>
        <w:pStyle w:val="style0"/>
        <w:spacing w:line="360" w:lineRule="auto"/>
        <w:jc w:val="both"/>
      </w:pPr>
      <w:r>
        <w:rPr>
          <w:sz w:val="24"/>
          <w:szCs w:val="24"/>
          <w:lang w:val="cs-CZ"/>
        </w:rPr>
        <w:tab/>
        <w:t>V čele mezinárodního obsazení stojí Channing Tatum („Bez kalhot”) a Mila Kunis („Mocný vládce Oz”). Ve filmu dále hrají Sean Bean (trilogie „Pán prstenů”), Eddie Redmayne („Bídníci”), Douglas Booth („LOL”), Tuppence Middleton (TV film „The Lady Vanishes”), Doona Bae („Atlas mraků”), James D’Arcy („Hitchcock”) a Tim Pigott-Smith („Alenka v říši divů”).</w:t>
      </w:r>
    </w:p>
    <w:p>
      <w:pPr>
        <w:sectPr>
          <w:headerReference r:id="rId2" w:type="first"/>
          <w:footerReference r:id="rId3" w:type="first"/>
          <w:type w:val="nextPage"/>
          <w:pgSz w:h="15840" w:w="12240"/>
          <w:pgMar w:bottom="720" w:footer="90" w:gutter="0" w:header="600" w:left="1800" w:right="1800" w:top="720"/>
          <w:pgNumType w:fmt="decimal"/>
          <w:formProt w:val="false"/>
          <w:titlePg/>
          <w:textDirection w:val="lrTb"/>
          <w:docGrid w:charSpace="8192" w:linePitch="240" w:type="default"/>
        </w:sectPr>
        <w:pStyle w:val="style0"/>
        <w:spacing w:line="360" w:lineRule="auto"/>
        <w:jc w:val="both"/>
      </w:pPr>
      <w:r>
        <w:rPr>
          <w:sz w:val="24"/>
          <w:szCs w:val="24"/>
          <w:lang w:val="cs-CZ"/>
        </w:rPr>
        <w:tab/>
        <w:t xml:space="preserve">Při práci na filmu „Jupiter Ascending” se Wachowští znovu sešli se svými dlouholetými spolupracovníky, kteří s nimi nedávno pracovali na filmu „Atlas mraků“: Držitel Oscara kameraman John Toll („Stateční srdce”, „Legenda o vášni”), vedoucí výpravy Hugh Bateup, střihač Alexander Berner, návrhářka kostýmů Kym Barrett a maskérka Jeremy Woodhead. Ve filmu „Jupiter Ascending” jsou použity nejmodernější vizuální efekty, které jsou pro filmy z dílny Wachowských tak příznačné. Poradcem pro vizuální efekty je </w:t>
      </w:r>
      <w:r>
        <w:rPr>
          <w:color w:val="000000"/>
          <w:sz w:val="24"/>
          <w:szCs w:val="24"/>
          <w:lang w:val="cs-CZ"/>
        </w:rPr>
        <w:t>Dan Glass (</w:t>
      </w:r>
      <w:r>
        <w:rPr>
          <w:sz w:val="24"/>
          <w:szCs w:val="24"/>
          <w:lang w:val="cs-CZ"/>
        </w:rPr>
        <w:t>„</w:t>
      </w:r>
      <w:r>
        <w:rPr>
          <w:color w:val="000000"/>
          <w:sz w:val="24"/>
          <w:szCs w:val="24"/>
          <w:lang w:val="cs-CZ"/>
        </w:rPr>
        <w:t xml:space="preserve">Batman začíná”, </w:t>
      </w:r>
      <w:r>
        <w:rPr>
          <w:sz w:val="24"/>
          <w:szCs w:val="24"/>
          <w:lang w:val="cs-CZ"/>
        </w:rPr>
        <w:t>„</w:t>
      </w:r>
      <w:r>
        <w:rPr>
          <w:color w:val="000000"/>
          <w:sz w:val="24"/>
          <w:szCs w:val="24"/>
          <w:lang w:val="cs-CZ"/>
        </w:rPr>
        <w:t xml:space="preserve">Atlas mraků”), který v této pozici spolupracuje se sourozenci Wachowskými již od trilogie </w:t>
      </w:r>
      <w:r>
        <w:rPr>
          <w:sz w:val="24"/>
          <w:szCs w:val="24"/>
          <w:lang w:val="cs-CZ"/>
        </w:rPr>
        <w:t>„</w:t>
      </w:r>
      <w:r>
        <w:rPr>
          <w:color w:val="000000"/>
          <w:sz w:val="24"/>
          <w:szCs w:val="24"/>
          <w:lang w:val="cs-CZ"/>
        </w:rPr>
        <w:t>Matrix”.  Na vizuálních efektech se podílí také držitel Oscara za vizuální efekty ve filmu „Matrix“ John Gaeta.</w:t>
      </w:r>
    </w:p>
    <w:p>
      <w:pPr>
        <w:sectPr>
          <w:headerReference r:id="rId4" w:type="default"/>
          <w:footerReference r:id="rId5" w:type="default"/>
          <w:type w:val="nextPage"/>
          <w:pgSz w:h="15840" w:w="12240"/>
          <w:pgMar w:bottom="810" w:footer="720" w:gutter="0" w:header="720" w:left="1800" w:right="1800" w:top="1320"/>
          <w:pgNumType w:fmt="decimal"/>
          <w:formProt w:val="false"/>
          <w:textDirection w:val="lrTb"/>
          <w:docGrid w:charSpace="8192" w:linePitch="240" w:type="default"/>
        </w:sectPr>
        <w:pStyle w:val="style0"/>
        <w:spacing w:line="360" w:lineRule="auto"/>
        <w:jc w:val="both"/>
      </w:pPr>
      <w:r>
        <w:rPr>
          <w:sz w:val="24"/>
          <w:szCs w:val="24"/>
          <w:lang w:val="cs-CZ"/>
        </w:rPr>
        <w:tab/>
        <w:t>Produkce zůstane ve studiích ve Velké Británii do června a potom se pro závěrečné natáčení  přesune do Chicaga.</w:t>
      </w:r>
    </w:p>
    <w:p>
      <w:pPr>
        <w:pStyle w:val="style0"/>
        <w:spacing w:line="360" w:lineRule="auto"/>
        <w:jc w:val="both"/>
      </w:pPr>
      <w:r>
        <w:rPr>
          <w:sz w:val="24"/>
          <w:szCs w:val="24"/>
          <w:lang w:val="cs-CZ"/>
        </w:rPr>
        <w:tab/>
        <w:t>Film „Jupiter Ascending” bude distribuovat společnost Warner Bros. Pictures, a Warner Bros. Entertainment Company a ve vybraných oblastech společnost Village Roadshow Pictures.</w:t>
      </w:r>
    </w:p>
    <w:p>
      <w:pPr>
        <w:pStyle w:val="style0"/>
        <w:spacing w:line="360" w:lineRule="auto"/>
        <w:jc w:val="both"/>
      </w:pPr>
      <w:r>
        <w:rPr/>
      </w:r>
    </w:p>
    <w:sectPr>
      <w:headerReference r:id="rId6" w:type="default"/>
      <w:footerReference r:id="rId7" w:type="default"/>
      <w:type w:val="nextPage"/>
      <w:pgSz w:h="15840" w:w="12240"/>
      <w:pgMar w:bottom="810" w:footer="720" w:gutter="0" w:header="720" w:left="1800" w:right="1800" w:top="1320"/>
      <w:pgNumType w:fmt="decimal"/>
      <w:formProt w:val="false"/>
      <w:textDirection w:val="lrTb"/>
      <w:docGrid w:charSpace="8192"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41"/>
    <w:pPr/>
  </w:p>
  <w:p>
    <w:r>
      <w:rPr>
        <w:rStyle w:val="style24"/>
      </w:rPr>
      <w:fldChar w:fldCharType="begin"/>
    </w:r>
    <w:r>
      <w:instrText> PAGE </w:instrText>
    </w:r>
    <w:r>
      <w:fldChar w:fldCharType="separate"/>
    </w:r>
    <w:r>
      <w:t>2</w:t>
    </w:r>
    <w:r>
      <w:fldChar w:fldCharType="end"/>
    </w:r>
    <w:pStyle w:val="style41"/>
    <w:pPr/>
  </w:p>
  <w:p>
    <w:pPr>
      <w:pStyle w:val="style41"/>
      <w:ind w:hanging="0" w:left="0" w:right="36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41"/>
    <w:pPr/>
  </w:p>
  <w:p>
    <w:r>
      <w:rPr>
        <w:rStyle w:val="style24"/>
      </w:rPr>
      <w:fldChar w:fldCharType="begin"/>
    </w:r>
    <w:r>
      <w:instrText> PAGE </w:instrText>
    </w:r>
    <w:r>
      <w:fldChar w:fldCharType="separate"/>
    </w:r>
    <w:r>
      <w:t>2</w:t>
    </w:r>
    <w:r>
      <w:fldChar w:fldCharType="end"/>
    </w:r>
    <w:pStyle w:val="style41"/>
    <w:pPr/>
  </w:p>
  <w:p>
    <w:pPr>
      <w:pStyle w:val="style41"/>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Výchozí"/>
    <w:next w:val="style0"/>
    <w:pPr>
      <w:widowControl/>
      <w:tabs/>
      <w:suppressAutoHyphens w:val="true"/>
    </w:pPr>
    <w:rPr>
      <w:rFonts w:ascii="Times New Roman" w:cs="Times New Roman" w:eastAsia="Times New Roman" w:hAnsi="Times New Roman"/>
      <w:color w:val="auto"/>
      <w:sz w:val="20"/>
      <w:szCs w:val="20"/>
      <w:lang w:bidi="ar-SA" w:eastAsia="en-US" w:val="en-US"/>
    </w:rPr>
  </w:style>
  <w:style w:styleId="style1" w:type="paragraph">
    <w:name w:val="Nadpis 1"/>
    <w:basedOn w:val="style0"/>
    <w:next w:val="style36"/>
    <w:pPr>
      <w:keepNext/>
      <w:jc w:val="center"/>
    </w:pPr>
    <w:rPr>
      <w:sz w:val="34"/>
      <w:szCs w:val="34"/>
    </w:rPr>
  </w:style>
  <w:style w:styleId="style2" w:type="paragraph">
    <w:name w:val="Nadpis 2"/>
    <w:basedOn w:val="style0"/>
    <w:next w:val="style36"/>
    <w:pPr>
      <w:keepNext/>
      <w:numPr>
        <w:ilvl w:val="1"/>
        <w:numId w:val="1"/>
      </w:numPr>
      <w:outlineLvl w:val="1"/>
    </w:pPr>
    <w:rPr>
      <w:sz w:val="24"/>
      <w:szCs w:val="24"/>
      <w:u w:val="single"/>
    </w:rPr>
  </w:style>
  <w:style w:styleId="style3" w:type="paragraph">
    <w:name w:val="Nadpis 3"/>
    <w:basedOn w:val="style0"/>
    <w:next w:val="style36"/>
    <w:pPr>
      <w:keepNext/>
      <w:numPr>
        <w:ilvl w:val="2"/>
        <w:numId w:val="1"/>
      </w:numPr>
      <w:spacing w:line="360" w:lineRule="auto"/>
      <w:outlineLvl w:val="2"/>
    </w:pPr>
    <w:rPr>
      <w:b/>
      <w:bCs/>
      <w:sz w:val="24"/>
      <w:szCs w:val="24"/>
    </w:rPr>
  </w:style>
  <w:style w:styleId="style15" w:type="character">
    <w:name w:val="Default Paragraph Font"/>
    <w:next w:val="style15"/>
    <w:rPr/>
  </w:style>
  <w:style w:styleId="style16" w:type="character">
    <w:name w:val="Heading 1 Char"/>
    <w:next w:val="style16"/>
    <w:rPr>
      <w:rFonts w:ascii="Cambria" w:cs="Times New Roman" w:eastAsia="Times New Roman" w:hAnsi="Cambria"/>
      <w:b/>
      <w:bCs/>
      <w:sz w:val="32"/>
      <w:szCs w:val="32"/>
    </w:rPr>
  </w:style>
  <w:style w:styleId="style17" w:type="character">
    <w:name w:val="Heading 2 Char"/>
    <w:next w:val="style17"/>
    <w:rPr>
      <w:rFonts w:ascii="Cambria" w:cs="Times New Roman" w:eastAsia="Times New Roman" w:hAnsi="Cambria"/>
      <w:b/>
      <w:bCs/>
      <w:i/>
      <w:iCs/>
      <w:sz w:val="28"/>
      <w:szCs w:val="28"/>
    </w:rPr>
  </w:style>
  <w:style w:styleId="style18" w:type="character">
    <w:name w:val="Heading 3 Char"/>
    <w:next w:val="style18"/>
    <w:rPr>
      <w:rFonts w:ascii="Cambria" w:cs="Times New Roman" w:eastAsia="Times New Roman" w:hAnsi="Cambria"/>
      <w:b/>
      <w:bCs/>
      <w:sz w:val="26"/>
      <w:szCs w:val="26"/>
    </w:rPr>
  </w:style>
  <w:style w:styleId="style19" w:type="character">
    <w:name w:val="Footnote Text Char"/>
    <w:basedOn w:val="style15"/>
    <w:next w:val="style19"/>
    <w:rPr/>
  </w:style>
  <w:style w:styleId="style20" w:type="character">
    <w:name w:val="footnote reference"/>
    <w:next w:val="style20"/>
    <w:rPr>
      <w:vertAlign w:val="superscript"/>
    </w:rPr>
  </w:style>
  <w:style w:styleId="style21" w:type="character">
    <w:name w:val="Header Char"/>
    <w:next w:val="style21"/>
    <w:rPr>
      <w:sz w:val="20"/>
      <w:szCs w:val="20"/>
    </w:rPr>
  </w:style>
  <w:style w:styleId="style22" w:type="character">
    <w:name w:val="Footer Char"/>
    <w:next w:val="style22"/>
    <w:rPr>
      <w:sz w:val="20"/>
      <w:szCs w:val="20"/>
    </w:rPr>
  </w:style>
  <w:style w:styleId="style23" w:type="character">
    <w:name w:val="Body Text Char"/>
    <w:next w:val="style23"/>
    <w:rPr>
      <w:sz w:val="20"/>
      <w:szCs w:val="20"/>
    </w:rPr>
  </w:style>
  <w:style w:styleId="style24" w:type="character">
    <w:name w:val="page number"/>
    <w:basedOn w:val="style15"/>
    <w:next w:val="style24"/>
    <w:rPr/>
  </w:style>
  <w:style w:styleId="style25" w:type="character">
    <w:name w:val="Body Text 2 Char"/>
    <w:next w:val="style25"/>
    <w:rPr>
      <w:sz w:val="20"/>
      <w:szCs w:val="20"/>
    </w:rPr>
  </w:style>
  <w:style w:styleId="style26" w:type="character">
    <w:name w:val="Title Char"/>
    <w:next w:val="style26"/>
    <w:rPr>
      <w:rFonts w:ascii="Cambria" w:cs="Times New Roman" w:eastAsia="Times New Roman" w:hAnsi="Cambria"/>
      <w:b/>
      <w:bCs/>
      <w:sz w:val="32"/>
      <w:szCs w:val="32"/>
    </w:rPr>
  </w:style>
  <w:style w:styleId="style27" w:type="character">
    <w:name w:val="Internetový odkaz"/>
    <w:next w:val="style27"/>
    <w:rPr>
      <w:color w:val="0000FF"/>
      <w:u w:val="single"/>
      <w:lang w:bidi="cs-CZ" w:eastAsia="cs-CZ" w:val="cs-CZ"/>
    </w:rPr>
  </w:style>
  <w:style w:styleId="style28" w:type="character">
    <w:name w:val="Balloon Text Char"/>
    <w:next w:val="style28"/>
    <w:rPr>
      <w:sz w:val="0"/>
      <w:szCs w:val="0"/>
    </w:rPr>
  </w:style>
  <w:style w:styleId="style29" w:type="character">
    <w:name w:val="EmailStyle25"/>
    <w:next w:val="style29"/>
    <w:rPr>
      <w:rFonts w:ascii="Arial" w:cs="Arial" w:hAnsi="Arial"/>
      <w:color w:val="000080"/>
      <w:sz w:val="20"/>
      <w:szCs w:val="20"/>
    </w:rPr>
  </w:style>
  <w:style w:styleId="style30" w:type="character">
    <w:name w:val="Plain Text Char"/>
    <w:next w:val="style30"/>
    <w:rPr>
      <w:rFonts w:ascii="Consolas" w:cs="Consolas" w:eastAsia="Times New Roman" w:hAnsi="Consolas"/>
      <w:sz w:val="21"/>
      <w:szCs w:val="21"/>
    </w:rPr>
  </w:style>
  <w:style w:styleId="style31" w:type="character">
    <w:name w:val="ListLabel 1"/>
    <w:next w:val="style31"/>
    <w:rPr>
      <w:rFonts w:eastAsia="Times New Roman"/>
    </w:rPr>
  </w:style>
  <w:style w:styleId="style32" w:type="character">
    <w:name w:val="ListLabel 2"/>
    <w:next w:val="style32"/>
    <w:rPr>
      <w:rFonts w:cs="Courier New"/>
    </w:rPr>
  </w:style>
  <w:style w:styleId="style33" w:type="character">
    <w:name w:val="ListLabel 3"/>
    <w:next w:val="style33"/>
    <w:rPr>
      <w:rFonts w:cs="Wingdings"/>
    </w:rPr>
  </w:style>
  <w:style w:styleId="style34" w:type="character">
    <w:name w:val="ListLabel 4"/>
    <w:next w:val="style34"/>
    <w:rPr>
      <w:rFonts w:cs="Symbol"/>
    </w:rPr>
  </w:style>
  <w:style w:styleId="style35" w:type="paragraph">
    <w:name w:val="Nadpis"/>
    <w:basedOn w:val="style0"/>
    <w:next w:val="style36"/>
    <w:pPr>
      <w:keepNext/>
      <w:spacing w:after="120" w:before="240"/>
      <w:contextualSpacing w:val="false"/>
    </w:pPr>
    <w:rPr>
      <w:rFonts w:ascii="Arial" w:cs="Mangal" w:eastAsia="Lucida Sans Unicode" w:hAnsi="Arial"/>
      <w:sz w:val="28"/>
      <w:szCs w:val="28"/>
    </w:rPr>
  </w:style>
  <w:style w:styleId="style36" w:type="paragraph">
    <w:name w:val="Tělo textu"/>
    <w:basedOn w:val="style0"/>
    <w:next w:val="style36"/>
    <w:pPr>
      <w:spacing w:line="360" w:lineRule="auto"/>
      <w:jc w:val="center"/>
    </w:pPr>
    <w:rPr>
      <w:b/>
      <w:bCs/>
      <w:sz w:val="24"/>
      <w:szCs w:val="24"/>
    </w:rPr>
  </w:style>
  <w:style w:styleId="style37" w:type="paragraph">
    <w:name w:val="Seznam"/>
    <w:basedOn w:val="style36"/>
    <w:next w:val="style37"/>
    <w:pPr/>
    <w:rPr>
      <w:rFonts w:cs="Mangal"/>
    </w:rPr>
  </w:style>
  <w:style w:styleId="style38" w:type="paragraph">
    <w:name w:val="Popisek"/>
    <w:basedOn w:val="style0"/>
    <w:next w:val="style38"/>
    <w:pPr>
      <w:suppressLineNumbers/>
      <w:spacing w:after="120" w:before="120"/>
      <w:contextualSpacing w:val="false"/>
    </w:pPr>
    <w:rPr>
      <w:rFonts w:cs="Mangal"/>
      <w:i/>
      <w:iCs/>
      <w:sz w:val="24"/>
      <w:szCs w:val="24"/>
    </w:rPr>
  </w:style>
  <w:style w:styleId="style39" w:type="paragraph">
    <w:name w:val="Rejstřík"/>
    <w:basedOn w:val="style0"/>
    <w:next w:val="style39"/>
    <w:pPr>
      <w:suppressLineNumbers/>
    </w:pPr>
    <w:rPr>
      <w:rFonts w:cs="Mangal"/>
    </w:rPr>
  </w:style>
  <w:style w:styleId="style40" w:type="paragraph">
    <w:name w:val="footnote text"/>
    <w:basedOn w:val="style0"/>
    <w:next w:val="style40"/>
    <w:pPr/>
    <w:rPr/>
  </w:style>
  <w:style w:styleId="style41" w:type="paragraph">
    <w:name w:val="Záhlaví"/>
    <w:basedOn w:val="style0"/>
    <w:next w:val="style41"/>
    <w:pPr>
      <w:suppressLineNumbers/>
      <w:tabs>
        <w:tab w:leader="none" w:pos="4320" w:val="center"/>
        <w:tab w:leader="none" w:pos="8640" w:val="right"/>
      </w:tabs>
    </w:pPr>
    <w:rPr/>
  </w:style>
  <w:style w:styleId="style42" w:type="paragraph">
    <w:name w:val="Zápatí"/>
    <w:basedOn w:val="style0"/>
    <w:next w:val="style42"/>
    <w:pPr>
      <w:suppressLineNumbers/>
      <w:tabs>
        <w:tab w:leader="none" w:pos="4320" w:val="center"/>
        <w:tab w:leader="none" w:pos="8640" w:val="right"/>
      </w:tabs>
    </w:pPr>
    <w:rPr/>
  </w:style>
  <w:style w:styleId="style43" w:type="paragraph">
    <w:name w:val="Body Text 2"/>
    <w:basedOn w:val="style0"/>
    <w:next w:val="style43"/>
    <w:pPr>
      <w:spacing w:line="360" w:lineRule="auto"/>
      <w:ind w:firstLine="720" w:left="0" w:right="0"/>
    </w:pPr>
    <w:rPr>
      <w:sz w:val="24"/>
      <w:szCs w:val="24"/>
    </w:rPr>
  </w:style>
  <w:style w:styleId="style44" w:type="paragraph">
    <w:name w:val="Název"/>
    <w:basedOn w:val="style0"/>
    <w:next w:val="style45"/>
    <w:pPr>
      <w:spacing w:line="360" w:lineRule="auto"/>
      <w:ind w:firstLine="720" w:left="0" w:right="0"/>
      <w:jc w:val="center"/>
    </w:pPr>
    <w:rPr>
      <w:b/>
      <w:bCs/>
      <w:sz w:val="24"/>
      <w:szCs w:val="24"/>
      <w:u w:val="single"/>
    </w:rPr>
  </w:style>
  <w:style w:styleId="style45" w:type="paragraph">
    <w:name w:val="Podtitul"/>
    <w:basedOn w:val="style35"/>
    <w:next w:val="style36"/>
    <w:pPr>
      <w:jc w:val="center"/>
    </w:pPr>
    <w:rPr>
      <w:i/>
      <w:iCs/>
      <w:sz w:val="28"/>
      <w:szCs w:val="28"/>
    </w:rPr>
  </w:style>
  <w:style w:styleId="style46" w:type="paragraph">
    <w:name w:val="Balloon Text"/>
    <w:basedOn w:val="style0"/>
    <w:next w:val="style46"/>
    <w:pPr/>
    <w:rPr>
      <w:rFonts w:ascii="Tahoma" w:cs="Tahoma" w:hAnsi="Tahoma"/>
      <w:sz w:val="16"/>
      <w:szCs w:val="16"/>
    </w:rPr>
  </w:style>
  <w:style w:styleId="style47" w:type="paragraph">
    <w:name w:val="Char Char1"/>
    <w:basedOn w:val="style0"/>
    <w:next w:val="style47"/>
    <w:pPr>
      <w:spacing w:after="160" w:before="0" w:line="240" w:lineRule="exact"/>
      <w:contextualSpacing w:val="false"/>
    </w:pPr>
    <w:rPr>
      <w:rFonts w:ascii="Verdana" w:cs="Verdana" w:hAnsi="Verdana"/>
    </w:rPr>
  </w:style>
  <w:style w:styleId="style48" w:type="paragraph">
    <w:name w:val="Plain Text"/>
    <w:basedOn w:val="style0"/>
    <w:next w:val="style48"/>
    <w:pPr/>
    <w:rPr>
      <w:rFonts w:ascii="Consolas" w:cs="Consolas" w:hAnsi="Consolas"/>
      <w:sz w:val="21"/>
      <w:szCs w:val="21"/>
    </w:rPr>
  </w:style>
  <w:style w:styleId="style49" w:type="paragraph">
    <w:name w:val="List Paragraph"/>
    <w:basedOn w:val="style0"/>
    <w:next w:val="style49"/>
    <w:pPr>
      <w:spacing w:after="0" w:before="0"/>
      <w:ind w:hanging="0" w:left="720" w:right="0"/>
      <w:contextualSpacing/>
    </w:pPr>
    <w:rPr/>
  </w:style>
  <w:style w:styleId="style50" w:type="paragraph">
    <w:name w:val="Obsah rámce"/>
    <w:basedOn w:val="style36"/>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Blood Diamond SOP DRAFT.dot</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2013-04-17T08:06:00.00Z</dcterms:created>
  <dc:creator>Warner Bros.</dc:creator>
  <cp:lastModifiedBy>xczeteglov</cp:lastModifiedBy>
  <cp:lastPrinted>2012-09-13T23:02:00.00Z</cp:lastPrinted>
  <dcterms:modified xsi:type="dcterms:W3CDTF">2013-04-17T08:06:00.00Z</dcterms:modified>
  <cp:revision>2</cp:revision>
  <dc:title>Revised SOP</dc:title>
</cp:coreProperties>
</file>